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0" w:rsidRDefault="008A03B0" w:rsidP="00AA67B2">
      <w:pPr>
        <w:jc w:val="center"/>
        <w:rPr>
          <w:b/>
          <w:highlight w:val="yellow"/>
        </w:rPr>
      </w:pPr>
    </w:p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90252D">
        <w:rPr>
          <w:b/>
          <w:highlight w:val="yellow"/>
        </w:rPr>
        <w:t>na 14</w:t>
      </w:r>
      <w:r w:rsidR="00DA5FFC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90252D" w:rsidP="00AA67B2">
      <w:pPr>
        <w:jc w:val="both"/>
        <w:rPr>
          <w:b/>
        </w:rPr>
      </w:pPr>
      <w:r>
        <w:rPr>
          <w:b/>
          <w:highlight w:val="yellow"/>
        </w:rPr>
        <w:t>Čtvrtek 14</w:t>
      </w:r>
      <w:r w:rsidR="00DA5FFC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90252D">
        <w:rPr>
          <w:b/>
        </w:rPr>
        <w:t>Konstrukce trojúhelníku, je-li zadána jedna strana</w:t>
      </w:r>
      <w:r w:rsidR="00610E82">
        <w:rPr>
          <w:b/>
        </w:rPr>
        <w:t xml:space="preserve"> a </w:t>
      </w:r>
      <w:r w:rsidR="0090252D">
        <w:rPr>
          <w:b/>
        </w:rPr>
        <w:t>dva vnitřní úhly u zadané strany (konstrukce usu</w:t>
      </w:r>
      <w:r w:rsidR="00610E82">
        <w:rPr>
          <w:b/>
        </w:rPr>
        <w:t>)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</w:p>
    <w:p w:rsidR="00AA67B2" w:rsidRDefault="00AA67B2" w:rsidP="008A03B0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90252D">
        <w:t>z úterní hodiny geometrie</w:t>
      </w:r>
      <w:r>
        <w:t xml:space="preserve">. </w:t>
      </w:r>
      <w:r w:rsidR="0090252D">
        <w:t>Úloha byla řešena na online hodině.</w:t>
      </w:r>
      <w:r w:rsidRPr="00D42B57">
        <w:t xml:space="preserve"> </w:t>
      </w:r>
    </w:p>
    <w:p w:rsidR="00735314" w:rsidRPr="00735314" w:rsidRDefault="001C7203" w:rsidP="008A03B0">
      <w:pPr>
        <w:numPr>
          <w:ilvl w:val="0"/>
          <w:numId w:val="1"/>
        </w:numPr>
        <w:jc w:val="both"/>
        <w:rPr>
          <w:b/>
        </w:rPr>
      </w:pPr>
      <w:r>
        <w:t xml:space="preserve">Dnešní hodinu budeme </w:t>
      </w:r>
      <w:r w:rsidR="00610E82">
        <w:t xml:space="preserve">pokračovat v jednoduchých konstrukcích trojúhelníku. Minulou hodinu jsme rýsovali </w:t>
      </w:r>
      <w:r w:rsidR="0090252D">
        <w:t xml:space="preserve">trojúhelník, který měl zadané dvě strany a vnitřní úhel, který obě strany svíraly (konstrukce </w:t>
      </w:r>
      <w:proofErr w:type="spellStart"/>
      <w:r w:rsidR="0090252D">
        <w:t>sus</w:t>
      </w:r>
      <w:proofErr w:type="spellEnd"/>
      <w:r w:rsidR="00610E82">
        <w:t xml:space="preserve">). Dnes </w:t>
      </w:r>
      <w:r w:rsidR="0090252D">
        <w:t>si zkusíme další konstrukci (usu</w:t>
      </w:r>
      <w:r w:rsidR="00610E82">
        <w:t>)</w:t>
      </w:r>
    </w:p>
    <w:p w:rsidR="000C446F" w:rsidRDefault="0090252D" w:rsidP="008904EF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 w:rsidR="00DA5FFC">
        <w:rPr>
          <w:b/>
          <w:highlight w:val="cyan"/>
        </w:rPr>
        <w:t>Budeme</w:t>
      </w:r>
      <w:r>
        <w:rPr>
          <w:b/>
          <w:highlight w:val="cyan"/>
        </w:rPr>
        <w:t xml:space="preserve"> řešit i</w:t>
      </w:r>
      <w:r w:rsidR="00222228">
        <w:rPr>
          <w:b/>
          <w:highlight w:val="cyan"/>
        </w:rPr>
        <w:t xml:space="preserve"> příklady zadané k</w:t>
      </w:r>
      <w:r>
        <w:rPr>
          <w:b/>
          <w:highlight w:val="cyan"/>
        </w:rPr>
        <w:t> </w:t>
      </w:r>
      <w:r w:rsidR="00222228">
        <w:rPr>
          <w:b/>
          <w:highlight w:val="cyan"/>
        </w:rPr>
        <w:t>pro</w:t>
      </w:r>
      <w:r>
        <w:rPr>
          <w:b/>
          <w:highlight w:val="cyan"/>
        </w:rPr>
        <w:t>cvičování úloh na geometrii</w:t>
      </w:r>
      <w:r w:rsidR="00CE1E1E">
        <w:rPr>
          <w:b/>
          <w:highlight w:val="cyan"/>
        </w:rPr>
        <w:t xml:space="preserve"> z obou hodin v tomto týdnu</w:t>
      </w:r>
      <w:r w:rsidR="00222228">
        <w:rPr>
          <w:b/>
          <w:highlight w:val="cyan"/>
        </w:rPr>
        <w:t xml:space="preserve">. </w:t>
      </w:r>
      <w:r w:rsidR="0065245A">
        <w:rPr>
          <w:b/>
          <w:highlight w:val="cyan"/>
        </w:rPr>
        <w:t>V</w:t>
      </w:r>
      <w:r w:rsidR="00DA5FFC">
        <w:rPr>
          <w:b/>
          <w:highlight w:val="cyan"/>
        </w:rPr>
        <w:t>ěřím, že účast bude opět 100%</w:t>
      </w:r>
      <w:r w:rsidR="003D0C9A" w:rsidRPr="00AB4210">
        <w:rPr>
          <w:b/>
          <w:highlight w:val="cyan"/>
        </w:rPr>
        <w:t>.</w:t>
      </w:r>
    </w:p>
    <w:p w:rsidR="0090252D" w:rsidRPr="0090252D" w:rsidRDefault="0090252D" w:rsidP="0090252D">
      <w:pPr>
        <w:jc w:val="both"/>
        <w:rPr>
          <w:b/>
          <w:highlight w:val="cyan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bookmarkStart w:id="0" w:name="_GoBack"/>
      <w:bookmarkEnd w:id="0"/>
      <w:r w:rsidRPr="008904EF">
        <w:rPr>
          <w:b/>
          <w:highlight w:val="yellow"/>
        </w:rPr>
        <w:t>:</w:t>
      </w:r>
    </w:p>
    <w:p w:rsidR="00140DD4" w:rsidRDefault="00140DD4" w:rsidP="00222228">
      <w:pPr>
        <w:ind w:right="-567"/>
        <w:jc w:val="both"/>
        <w:rPr>
          <w:b/>
          <w:highlight w:val="cyan"/>
        </w:rPr>
      </w:pPr>
    </w:p>
    <w:p w:rsidR="00677758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>Příklad č. 1</w:t>
      </w:r>
      <w:r w:rsidR="00677758">
        <w:rPr>
          <w:b/>
        </w:rPr>
        <w:t>:</w:t>
      </w:r>
    </w:p>
    <w:p w:rsidR="002137B2" w:rsidRDefault="002137B2" w:rsidP="00222228">
      <w:pPr>
        <w:ind w:right="-567"/>
        <w:jc w:val="both"/>
        <w:rPr>
          <w:b/>
        </w:rPr>
      </w:pPr>
      <w:r>
        <w:rPr>
          <w:b/>
        </w:rPr>
        <w:t xml:space="preserve">Sestrojte trojúhelník ABC, je-li dáno: </w:t>
      </w:r>
      <m:oMath>
        <m:r>
          <m:rPr>
            <m:sty m:val="bi"/>
          </m:rPr>
          <w:rPr>
            <w:rFonts w:ascii="Cambria Math" w:hAnsi="Cambria Math"/>
          </w:rPr>
          <m:t>b=4</m:t>
        </m:r>
        <m:r>
          <m:rPr>
            <m:sty m:val="bi"/>
          </m:rPr>
          <w:rPr>
            <w:rFonts w:ascii="Cambria Math" w:hAnsi="Cambria Math"/>
          </w:rPr>
          <m:t>cm;α=110°; γ=32°</m:t>
        </m:r>
      </m:oMath>
      <w:r>
        <w:rPr>
          <w:b/>
        </w:rPr>
        <w:t>.</w:t>
      </w:r>
    </w:p>
    <w:p w:rsidR="002137B2" w:rsidRDefault="001F11EC" w:rsidP="00222228">
      <w:pPr>
        <w:ind w:right="-567"/>
        <w:jc w:val="both"/>
        <w:rPr>
          <w:b/>
        </w:rPr>
      </w:pPr>
      <w:r w:rsidRPr="00140DD4">
        <w:rPr>
          <w:b/>
          <w:highlight w:val="yellow"/>
        </w:rPr>
        <w:t>Náčrt a rozbor:</w:t>
      </w:r>
    </w:p>
    <w:p w:rsidR="00E5793F" w:rsidRDefault="00E5793F" w:rsidP="00222228">
      <w:pPr>
        <w:ind w:right="-567"/>
        <w:jc w:val="both"/>
        <w:rPr>
          <w:b/>
        </w:rPr>
      </w:pPr>
    </w:p>
    <w:p w:rsidR="001F11EC" w:rsidRDefault="00B32F2F" w:rsidP="00222228">
      <w:pPr>
        <w:ind w:right="-567"/>
        <w:jc w:val="both"/>
        <w:rPr>
          <w:b/>
        </w:rPr>
      </w:pPr>
      <w:r w:rsidRPr="00B32F2F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874133" wp14:editId="40DD172C">
                <wp:simplePos x="0" y="0"/>
                <wp:positionH relativeFrom="column">
                  <wp:posOffset>4652645</wp:posOffset>
                </wp:positionH>
                <wp:positionV relativeFrom="paragraph">
                  <wp:posOffset>269875</wp:posOffset>
                </wp:positionV>
                <wp:extent cx="1704975" cy="12668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2F" w:rsidRPr="00B32F2F" w:rsidRDefault="00B32F2F">
                            <w:pPr>
                              <w:rPr>
                                <w:b/>
                              </w:rPr>
                            </w:pPr>
                            <w:r w:rsidRPr="00B32F2F">
                              <w:rPr>
                                <w:b/>
                              </w:rPr>
                              <w:t>Rozbor:</w:t>
                            </w:r>
                          </w:p>
                          <w:p w:rsidR="00B32F2F" w:rsidRPr="00B32F2F" w:rsidRDefault="00B32F2F" w:rsidP="00B32F2F">
                            <w:pPr>
                              <w:jc w:val="both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110°+32°=142°</m:t>
                                </m:r>
                              </m:oMath>
                            </m:oMathPara>
                          </w:p>
                          <w:p w:rsidR="00B32F2F" w:rsidRPr="00B32F2F" w:rsidRDefault="00B32F2F" w:rsidP="00B32F2F">
                            <w:pPr>
                              <w:jc w:val="both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142°&lt;180°</m:t>
                                </m:r>
                              </m:oMath>
                            </m:oMathPara>
                          </w:p>
                          <w:p w:rsidR="00B32F2F" w:rsidRPr="00B32F2F" w:rsidRDefault="00B32F2F" w:rsidP="00B32F2F">
                            <w:pPr>
                              <w:jc w:val="both"/>
                            </w:pPr>
                            <w:r>
                              <w:t>Trojúhelník lze sestrojit.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741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6.35pt;margin-top:21.25pt;width:134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" stroked="f">
                <v:textbox>
                  <w:txbxContent>
                    <w:p w:rsidR="00B32F2F" w:rsidRPr="00B32F2F" w:rsidRDefault="00B32F2F">
                      <w:pPr>
                        <w:rPr>
                          <w:b/>
                        </w:rPr>
                      </w:pPr>
                      <w:r w:rsidRPr="00B32F2F">
                        <w:rPr>
                          <w:b/>
                        </w:rPr>
                        <w:t>Rozbor:</w:t>
                      </w:r>
                    </w:p>
                    <w:p w:rsidR="00B32F2F" w:rsidRPr="00B32F2F" w:rsidRDefault="00B32F2F" w:rsidP="00B32F2F">
                      <w:pPr>
                        <w:jc w:val="both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110°+32°=142</m:t>
                          </m:r>
                          <m:r>
                            <w:rPr>
                              <w:rFonts w:ascii="Cambria Math" w:hAnsi="Cambria Math"/>
                            </w:rPr>
                            <m:t>°</m:t>
                          </m:r>
                        </m:oMath>
                      </m:oMathPara>
                    </w:p>
                    <w:p w:rsidR="00B32F2F" w:rsidRPr="00B32F2F" w:rsidRDefault="00B32F2F" w:rsidP="00B32F2F">
                      <w:pPr>
                        <w:jc w:val="both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142°&lt;180</m:t>
                          </m:r>
                          <m:r>
                            <w:rPr>
                              <w:rFonts w:ascii="Cambria Math" w:hAnsi="Cambria Math"/>
                            </w:rPr>
                            <m:t>°</m:t>
                          </m:r>
                        </m:oMath>
                      </m:oMathPara>
                    </w:p>
                    <w:p w:rsidR="00B32F2F" w:rsidRPr="00B32F2F" w:rsidRDefault="00B32F2F" w:rsidP="00B32F2F">
                      <w:pPr>
                        <w:jc w:val="both"/>
                      </w:pPr>
                      <w:r>
                        <w:t>Trojúhelník lze sestrojit.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41182DD" wp14:editId="73CE3D72">
            <wp:extent cx="4174824" cy="2190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707" t="23810" r="67593" b="60612"/>
                    <a:stretch/>
                  </pic:blipFill>
                  <pic:spPr bwMode="auto">
                    <a:xfrm>
                      <a:off x="0" y="0"/>
                      <a:ext cx="4205258" cy="2206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3B0" w:rsidRDefault="008A03B0" w:rsidP="00830974">
      <w:pPr>
        <w:rPr>
          <w:b/>
          <w:highlight w:val="yellow"/>
        </w:rPr>
      </w:pPr>
    </w:p>
    <w:p w:rsidR="00281E03" w:rsidRDefault="001F11EC" w:rsidP="00830974">
      <w:pPr>
        <w:rPr>
          <w:b/>
        </w:rPr>
      </w:pPr>
      <w:r w:rsidRPr="00140DD4">
        <w:rPr>
          <w:b/>
          <w:highlight w:val="yellow"/>
        </w:rPr>
        <w:t>Postup konstrukce:</w:t>
      </w:r>
    </w:p>
    <w:p w:rsidR="001F11EC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1. AC;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AC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=a=4</m:t>
          </m:r>
          <m:r>
            <m:rPr>
              <m:sty m:val="bi"/>
            </m:rPr>
            <w:rPr>
              <w:rFonts w:ascii="Cambria Math" w:hAnsi="Cambria Math"/>
            </w:rPr>
            <m:t>cm</m:t>
          </m:r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2.∢CAX;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∢CAX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=α=110°</m:t>
          </m:r>
        </m:oMath>
      </m:oMathPara>
    </w:p>
    <w:p w:rsidR="00140DD4" w:rsidRPr="00E5793F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3.∢ACY;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∢ACY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=γ=32°</m:t>
          </m:r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4. B;B∈→AX∩→CY</m:t>
          </m:r>
        </m:oMath>
      </m:oMathPara>
    </w:p>
    <w:p w:rsidR="00140DD4" w:rsidRPr="00140DD4" w:rsidRDefault="00140DD4" w:rsidP="00830974">
      <w:pPr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5. ∆ABC</m:t>
          </m:r>
        </m:oMath>
      </m:oMathPara>
    </w:p>
    <w:p w:rsidR="00736B9B" w:rsidRDefault="00736B9B" w:rsidP="00830974">
      <w:pPr>
        <w:rPr>
          <w:b/>
        </w:rPr>
      </w:pPr>
    </w:p>
    <w:p w:rsidR="00736B9B" w:rsidRDefault="00736B9B" w:rsidP="00830974">
      <w:pPr>
        <w:rPr>
          <w:b/>
        </w:rPr>
      </w:pPr>
      <w:r>
        <w:rPr>
          <w:b/>
        </w:rPr>
        <w:lastRenderedPageBreak/>
        <w:t>Poznámka:</w:t>
      </w:r>
    </w:p>
    <w:p w:rsidR="00736B9B" w:rsidRDefault="00736B9B" w:rsidP="008A03B0">
      <w:pPr>
        <w:pStyle w:val="Odstavecseseznamem"/>
        <w:numPr>
          <w:ilvl w:val="0"/>
          <w:numId w:val="48"/>
        </w:numPr>
        <w:jc w:val="both"/>
      </w:pPr>
      <w:r>
        <w:t xml:space="preserve">Zde mají žáci drobný problém s tím, proč se nepíše v bodě 4 průsečík </w:t>
      </w:r>
      <w:r w:rsidR="00E5793F">
        <w:t>obou úhlů, ale pouze průsečík ramen úhlů AX a CY.</w:t>
      </w:r>
    </w:p>
    <w:p w:rsidR="00736B9B" w:rsidRPr="00736B9B" w:rsidRDefault="00736B9B" w:rsidP="008A03B0">
      <w:pPr>
        <w:pStyle w:val="Odstavecseseznamem"/>
        <w:numPr>
          <w:ilvl w:val="0"/>
          <w:numId w:val="48"/>
        </w:numPr>
        <w:jc w:val="both"/>
      </w:pPr>
      <w:r>
        <w:t>Úhel totiž zaujímá</w:t>
      </w:r>
      <w:r w:rsidR="00E5793F">
        <w:t xml:space="preserve"> celý prostor mezi oběma rameny. Průsečíkem by tak nebyl bod B, ale všechny body uvnitř trojúhelníku</w:t>
      </w:r>
      <w:r>
        <w:t xml:space="preserve">. Všechny tyto body by však nesplňovaly zadání úlohy, kde je </w:t>
      </w:r>
      <w:r w:rsidR="00E5793F">
        <w:t xml:space="preserve">například </w:t>
      </w:r>
      <w:r>
        <w:t xml:space="preserve">úhel </w:t>
      </w:r>
      <m:oMath>
        <m:r>
          <m:rPr>
            <m:sty m:val="bi"/>
          </m:rPr>
          <w:rPr>
            <w:rFonts w:ascii="Cambria Math" w:hAnsi="Cambria Math"/>
          </w:rPr>
          <m:t xml:space="preserve"> γ=32°</m:t>
        </m:r>
      </m:oMath>
      <w:r>
        <w:rPr>
          <w:b/>
        </w:rPr>
        <w:t>. V online hodině si to nakreslíme</w:t>
      </w:r>
      <w:r w:rsidR="00E5793F">
        <w:rPr>
          <w:b/>
        </w:rPr>
        <w:t xml:space="preserve"> a znovu vysvětlíme</w:t>
      </w:r>
      <w:r>
        <w:rPr>
          <w:b/>
        </w:rPr>
        <w:t>.</w:t>
      </w:r>
    </w:p>
    <w:p w:rsidR="00736B9B" w:rsidRDefault="00736B9B" w:rsidP="00830974">
      <w:pPr>
        <w:rPr>
          <w:b/>
          <w:highlight w:val="yellow"/>
        </w:rPr>
      </w:pPr>
    </w:p>
    <w:p w:rsidR="00140DD4" w:rsidRDefault="00140DD4" w:rsidP="00830974">
      <w:pPr>
        <w:rPr>
          <w:b/>
        </w:rPr>
      </w:pPr>
      <w:r w:rsidRPr="00140DD4">
        <w:rPr>
          <w:b/>
          <w:highlight w:val="yellow"/>
        </w:rPr>
        <w:t>Konstrukce:</w:t>
      </w:r>
      <w:r>
        <w:rPr>
          <w:b/>
        </w:rPr>
        <w:t xml:space="preserve"> </w:t>
      </w:r>
    </w:p>
    <w:p w:rsidR="00140DD4" w:rsidRDefault="00E5793F" w:rsidP="00830974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BAA39DE" wp14:editId="18F26572">
            <wp:extent cx="4914900" cy="269491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700" t="42509" r="63585" b="38273"/>
                    <a:stretch/>
                  </pic:blipFill>
                  <pic:spPr bwMode="auto">
                    <a:xfrm>
                      <a:off x="0" y="0"/>
                      <a:ext cx="4989132" cy="273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0DD4" w:rsidRDefault="00140DD4" w:rsidP="00830974">
      <w:pPr>
        <w:rPr>
          <w:b/>
        </w:rPr>
      </w:pPr>
    </w:p>
    <w:p w:rsidR="00140DD4" w:rsidRDefault="00140DD4" w:rsidP="00830974">
      <w:pPr>
        <w:rPr>
          <w:b/>
        </w:rPr>
      </w:pPr>
      <w:r w:rsidRPr="00140DD4">
        <w:rPr>
          <w:b/>
          <w:highlight w:val="yellow"/>
        </w:rPr>
        <w:t>Diskuse a závěr:</w:t>
      </w:r>
    </w:p>
    <w:p w:rsidR="00140DD4" w:rsidRPr="00140DD4" w:rsidRDefault="00140DD4" w:rsidP="00140DD4">
      <w:pPr>
        <w:pStyle w:val="Odstavecseseznamem"/>
        <w:numPr>
          <w:ilvl w:val="0"/>
          <w:numId w:val="47"/>
        </w:numPr>
      </w:pPr>
      <w:r w:rsidRPr="00140DD4">
        <w:t>Trojúhelník odpovídá zadání.</w:t>
      </w:r>
    </w:p>
    <w:p w:rsidR="00140DD4" w:rsidRPr="00140DD4" w:rsidRDefault="00140DD4" w:rsidP="00140DD4">
      <w:pPr>
        <w:pStyle w:val="Odstavecseseznamem"/>
        <w:numPr>
          <w:ilvl w:val="0"/>
          <w:numId w:val="47"/>
        </w:numPr>
      </w:pPr>
      <w:r w:rsidRPr="00140DD4">
        <w:t>Jedno řešení v polorovině.</w:t>
      </w:r>
    </w:p>
    <w:p w:rsidR="00281E03" w:rsidRDefault="00281E03" w:rsidP="00830974">
      <w:pPr>
        <w:rPr>
          <w:b/>
        </w:rPr>
      </w:pPr>
    </w:p>
    <w:p w:rsidR="00E5793F" w:rsidRDefault="008A03B0" w:rsidP="00830974">
      <w:pPr>
        <w:rPr>
          <w:b/>
        </w:rPr>
      </w:pPr>
      <w:r w:rsidRPr="008A03B0">
        <w:t>Pro lepší pochopení posílám odkaz na tento příklad, kde je řešení i s komentářem.</w:t>
      </w:r>
      <w:r w:rsidR="00E5793F">
        <w:t xml:space="preserve"> Odkaz si pusťte od času 3:3</w:t>
      </w:r>
      <w:r w:rsidRPr="008A03B0">
        <w:t>0:</w:t>
      </w:r>
      <w:r>
        <w:rPr>
          <w:b/>
        </w:rPr>
        <w:t xml:space="preserve"> </w:t>
      </w:r>
      <w:hyperlink r:id="rId7" w:history="1">
        <w:r w:rsidR="00CD7AF4" w:rsidRPr="00393B82">
          <w:rPr>
            <w:rStyle w:val="Hypertextovodkaz"/>
            <w:b/>
          </w:rPr>
          <w:t>https://www.youtube.com/watch?v=bB4C2BYcKxk</w:t>
        </w:r>
      </w:hyperlink>
    </w:p>
    <w:p w:rsidR="00CD7AF4" w:rsidRDefault="00CD7AF4" w:rsidP="00830974">
      <w:pPr>
        <w:rPr>
          <w:b/>
        </w:rPr>
      </w:pPr>
    </w:p>
    <w:p w:rsidR="00E5793F" w:rsidRDefault="00E5793F" w:rsidP="00830974">
      <w:pPr>
        <w:rPr>
          <w:b/>
        </w:rPr>
      </w:pPr>
    </w:p>
    <w:p w:rsidR="008A03B0" w:rsidRDefault="008A03B0" w:rsidP="00830974">
      <w:pPr>
        <w:rPr>
          <w:b/>
        </w:rPr>
      </w:pPr>
      <w:r w:rsidRPr="008A03B0">
        <w:rPr>
          <w:b/>
          <w:highlight w:val="cyan"/>
        </w:rPr>
        <w:t>Příklad k procvičování:</w:t>
      </w:r>
    </w:p>
    <w:p w:rsidR="008A03B0" w:rsidRDefault="008A03B0" w:rsidP="008A03B0">
      <w:pPr>
        <w:ind w:right="-567"/>
        <w:jc w:val="both"/>
        <w:rPr>
          <w:b/>
        </w:rPr>
      </w:pPr>
      <w:r>
        <w:rPr>
          <w:b/>
        </w:rPr>
        <w:t xml:space="preserve">Sestrojte trojúhelník ABC, je-li dáno: </w:t>
      </w:r>
      <m:oMath>
        <m:r>
          <m:rPr>
            <m:sty m:val="bi"/>
          </m:rPr>
          <w:rPr>
            <w:rFonts w:ascii="Cambria Math" w:hAnsi="Cambria Math"/>
          </w:rPr>
          <m:t>c=9 cm;α=45°; β=60°</m:t>
        </m:r>
      </m:oMath>
      <w:r>
        <w:rPr>
          <w:b/>
        </w:rPr>
        <w:t>.</w:t>
      </w:r>
    </w:p>
    <w:p w:rsidR="00281E03" w:rsidRDefault="00281E03" w:rsidP="00830974">
      <w:pPr>
        <w:rPr>
          <w:b/>
        </w:rPr>
      </w:pPr>
    </w:p>
    <w:p w:rsidR="00F01730" w:rsidRPr="00ED4003" w:rsidRDefault="00F01730" w:rsidP="00ED4003">
      <w:pPr>
        <w:jc w:val="both"/>
        <w:rPr>
          <w:rFonts w:asciiTheme="minorHAnsi" w:hAnsiTheme="minorHAnsi" w:cstheme="minorHAnsi"/>
          <w:b/>
        </w:rPr>
      </w:pPr>
    </w:p>
    <w:sectPr w:rsidR="00F01730" w:rsidRPr="00ED4003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003"/>
    <w:multiLevelType w:val="hybridMultilevel"/>
    <w:tmpl w:val="93442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2BF9"/>
    <w:multiLevelType w:val="hybridMultilevel"/>
    <w:tmpl w:val="6D6C5A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D2BD6"/>
    <w:multiLevelType w:val="hybridMultilevel"/>
    <w:tmpl w:val="B60E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2D9E"/>
    <w:multiLevelType w:val="hybridMultilevel"/>
    <w:tmpl w:val="0E4492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FD3EC9"/>
    <w:multiLevelType w:val="hybridMultilevel"/>
    <w:tmpl w:val="EBAA826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A96703C"/>
    <w:multiLevelType w:val="hybridMultilevel"/>
    <w:tmpl w:val="E8300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8B1"/>
    <w:multiLevelType w:val="hybridMultilevel"/>
    <w:tmpl w:val="8002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C5C36C2"/>
    <w:multiLevelType w:val="hybridMultilevel"/>
    <w:tmpl w:val="B1348A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4"/>
  </w:num>
  <w:num w:numId="3">
    <w:abstractNumId w:val="29"/>
  </w:num>
  <w:num w:numId="4">
    <w:abstractNumId w:val="36"/>
  </w:num>
  <w:num w:numId="5">
    <w:abstractNumId w:val="31"/>
  </w:num>
  <w:num w:numId="6">
    <w:abstractNumId w:val="25"/>
  </w:num>
  <w:num w:numId="7">
    <w:abstractNumId w:val="28"/>
  </w:num>
  <w:num w:numId="8">
    <w:abstractNumId w:val="20"/>
  </w:num>
  <w:num w:numId="9">
    <w:abstractNumId w:val="22"/>
  </w:num>
  <w:num w:numId="10">
    <w:abstractNumId w:val="39"/>
  </w:num>
  <w:num w:numId="11">
    <w:abstractNumId w:val="23"/>
  </w:num>
  <w:num w:numId="12">
    <w:abstractNumId w:val="40"/>
  </w:num>
  <w:num w:numId="13">
    <w:abstractNumId w:val="34"/>
  </w:num>
  <w:num w:numId="14">
    <w:abstractNumId w:val="15"/>
  </w:num>
  <w:num w:numId="15">
    <w:abstractNumId w:val="46"/>
  </w:num>
  <w:num w:numId="16">
    <w:abstractNumId w:val="33"/>
  </w:num>
  <w:num w:numId="17">
    <w:abstractNumId w:val="21"/>
  </w:num>
  <w:num w:numId="18">
    <w:abstractNumId w:val="6"/>
  </w:num>
  <w:num w:numId="19">
    <w:abstractNumId w:val="1"/>
  </w:num>
  <w:num w:numId="20">
    <w:abstractNumId w:val="37"/>
  </w:num>
  <w:num w:numId="21">
    <w:abstractNumId w:val="27"/>
  </w:num>
  <w:num w:numId="22">
    <w:abstractNumId w:val="24"/>
  </w:num>
  <w:num w:numId="23">
    <w:abstractNumId w:val="41"/>
  </w:num>
  <w:num w:numId="24">
    <w:abstractNumId w:val="10"/>
  </w:num>
  <w:num w:numId="25">
    <w:abstractNumId w:val="42"/>
  </w:num>
  <w:num w:numId="26">
    <w:abstractNumId w:val="4"/>
  </w:num>
  <w:num w:numId="27">
    <w:abstractNumId w:val="11"/>
  </w:num>
  <w:num w:numId="28">
    <w:abstractNumId w:val="17"/>
  </w:num>
  <w:num w:numId="29">
    <w:abstractNumId w:val="19"/>
  </w:num>
  <w:num w:numId="30">
    <w:abstractNumId w:val="32"/>
  </w:num>
  <w:num w:numId="31">
    <w:abstractNumId w:val="7"/>
  </w:num>
  <w:num w:numId="32">
    <w:abstractNumId w:val="26"/>
  </w:num>
  <w:num w:numId="33">
    <w:abstractNumId w:val="38"/>
  </w:num>
  <w:num w:numId="34">
    <w:abstractNumId w:val="2"/>
  </w:num>
  <w:num w:numId="35">
    <w:abstractNumId w:val="12"/>
  </w:num>
  <w:num w:numId="36">
    <w:abstractNumId w:val="16"/>
  </w:num>
  <w:num w:numId="37">
    <w:abstractNumId w:val="8"/>
  </w:num>
  <w:num w:numId="38">
    <w:abstractNumId w:val="43"/>
  </w:num>
  <w:num w:numId="39">
    <w:abstractNumId w:val="18"/>
  </w:num>
  <w:num w:numId="40">
    <w:abstractNumId w:val="9"/>
  </w:num>
  <w:num w:numId="41">
    <w:abstractNumId w:val="3"/>
  </w:num>
  <w:num w:numId="42">
    <w:abstractNumId w:val="30"/>
  </w:num>
  <w:num w:numId="43">
    <w:abstractNumId w:val="35"/>
  </w:num>
  <w:num w:numId="44">
    <w:abstractNumId w:val="47"/>
  </w:num>
  <w:num w:numId="45">
    <w:abstractNumId w:val="13"/>
  </w:num>
  <w:num w:numId="46">
    <w:abstractNumId w:val="14"/>
  </w:num>
  <w:num w:numId="47">
    <w:abstractNumId w:val="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105F0"/>
    <w:rsid w:val="0012288E"/>
    <w:rsid w:val="00140DD4"/>
    <w:rsid w:val="001B532F"/>
    <w:rsid w:val="001C7203"/>
    <w:rsid w:val="001D17B6"/>
    <w:rsid w:val="001E7CC3"/>
    <w:rsid w:val="001F11EC"/>
    <w:rsid w:val="002055AD"/>
    <w:rsid w:val="002137B2"/>
    <w:rsid w:val="00222228"/>
    <w:rsid w:val="00232433"/>
    <w:rsid w:val="00256F35"/>
    <w:rsid w:val="00281E03"/>
    <w:rsid w:val="002A4D6B"/>
    <w:rsid w:val="002B4685"/>
    <w:rsid w:val="002C44F2"/>
    <w:rsid w:val="00367D8E"/>
    <w:rsid w:val="003C1F8E"/>
    <w:rsid w:val="003D0C9A"/>
    <w:rsid w:val="00405337"/>
    <w:rsid w:val="0044402C"/>
    <w:rsid w:val="00486B85"/>
    <w:rsid w:val="004B1D2B"/>
    <w:rsid w:val="004C03C0"/>
    <w:rsid w:val="004C4672"/>
    <w:rsid w:val="004E2881"/>
    <w:rsid w:val="005066B8"/>
    <w:rsid w:val="00571D92"/>
    <w:rsid w:val="005C0D96"/>
    <w:rsid w:val="005D1163"/>
    <w:rsid w:val="00610E82"/>
    <w:rsid w:val="0065245A"/>
    <w:rsid w:val="00677758"/>
    <w:rsid w:val="006805FF"/>
    <w:rsid w:val="006D0DE2"/>
    <w:rsid w:val="006E13E6"/>
    <w:rsid w:val="006F3468"/>
    <w:rsid w:val="00735314"/>
    <w:rsid w:val="00736B9B"/>
    <w:rsid w:val="00767264"/>
    <w:rsid w:val="007E157E"/>
    <w:rsid w:val="007E3966"/>
    <w:rsid w:val="0082313F"/>
    <w:rsid w:val="00830974"/>
    <w:rsid w:val="00881A38"/>
    <w:rsid w:val="008904EF"/>
    <w:rsid w:val="008A03B0"/>
    <w:rsid w:val="008D31B4"/>
    <w:rsid w:val="008D6C67"/>
    <w:rsid w:val="0090252D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32F2F"/>
    <w:rsid w:val="00B40B7C"/>
    <w:rsid w:val="00B92711"/>
    <w:rsid w:val="00BB5A73"/>
    <w:rsid w:val="00C135B4"/>
    <w:rsid w:val="00CA0F74"/>
    <w:rsid w:val="00CB3309"/>
    <w:rsid w:val="00CD7AF4"/>
    <w:rsid w:val="00CE1CC9"/>
    <w:rsid w:val="00CE1E1E"/>
    <w:rsid w:val="00D07C3F"/>
    <w:rsid w:val="00D221F7"/>
    <w:rsid w:val="00D223AC"/>
    <w:rsid w:val="00D37FB1"/>
    <w:rsid w:val="00D85344"/>
    <w:rsid w:val="00DA5FFC"/>
    <w:rsid w:val="00DC521D"/>
    <w:rsid w:val="00E35E66"/>
    <w:rsid w:val="00E5793F"/>
    <w:rsid w:val="00E9031D"/>
    <w:rsid w:val="00EC5633"/>
    <w:rsid w:val="00ED400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371F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B4C2BYcK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2020-05-13T11:25:00Z</dcterms:created>
  <dcterms:modified xsi:type="dcterms:W3CDTF">2020-05-13T11:25:00Z</dcterms:modified>
</cp:coreProperties>
</file>