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3B0" w:rsidRDefault="008A03B0" w:rsidP="00AA67B2">
      <w:pPr>
        <w:jc w:val="center"/>
        <w:rPr>
          <w:b/>
          <w:highlight w:val="yellow"/>
        </w:rPr>
      </w:pPr>
    </w:p>
    <w:p w:rsidR="00AA67B2" w:rsidRPr="00BA394B" w:rsidRDefault="00AA67B2" w:rsidP="00AA67B2">
      <w:pPr>
        <w:jc w:val="center"/>
        <w:rPr>
          <w:b/>
          <w:highlight w:val="yellow"/>
        </w:rPr>
      </w:pPr>
      <w:r w:rsidRPr="00BA394B">
        <w:rPr>
          <w:b/>
          <w:highlight w:val="yellow"/>
        </w:rPr>
        <w:t>Matematika – VI. A</w:t>
      </w:r>
    </w:p>
    <w:p w:rsidR="00AA67B2" w:rsidRDefault="00AA67B2" w:rsidP="00AA67B2">
      <w:pPr>
        <w:jc w:val="center"/>
        <w:rPr>
          <w:b/>
        </w:rPr>
      </w:pPr>
      <w:r w:rsidRPr="00BA394B">
        <w:rPr>
          <w:b/>
          <w:highlight w:val="yellow"/>
        </w:rPr>
        <w:t xml:space="preserve">(domácí činnost </w:t>
      </w:r>
      <w:r w:rsidR="008B4D84">
        <w:rPr>
          <w:b/>
          <w:highlight w:val="yellow"/>
        </w:rPr>
        <w:t>na 19</w:t>
      </w:r>
      <w:r w:rsidR="00DA5FFC">
        <w:rPr>
          <w:b/>
          <w:highlight w:val="yellow"/>
        </w:rPr>
        <w:t>. 5</w:t>
      </w:r>
      <w:r w:rsidRPr="00BA394B">
        <w:rPr>
          <w:b/>
          <w:highlight w:val="yellow"/>
        </w:rPr>
        <w:t>. 2020)</w:t>
      </w:r>
    </w:p>
    <w:p w:rsidR="00AA67B2" w:rsidRDefault="008B4D84" w:rsidP="00AA67B2">
      <w:pPr>
        <w:jc w:val="both"/>
        <w:rPr>
          <w:b/>
        </w:rPr>
      </w:pPr>
      <w:r>
        <w:rPr>
          <w:b/>
          <w:highlight w:val="yellow"/>
        </w:rPr>
        <w:t>Úterý 19</w:t>
      </w:r>
      <w:r w:rsidR="00DA5FFC">
        <w:rPr>
          <w:b/>
          <w:highlight w:val="yellow"/>
        </w:rPr>
        <w:t>. 5</w:t>
      </w:r>
      <w:r w:rsidR="00AA67B2" w:rsidRPr="00405337">
        <w:rPr>
          <w:b/>
          <w:highlight w:val="yellow"/>
        </w:rPr>
        <w:t>. 2020</w:t>
      </w:r>
    </w:p>
    <w:p w:rsidR="00AA67B2" w:rsidRDefault="00AA67B2" w:rsidP="00AA67B2">
      <w:pPr>
        <w:jc w:val="both"/>
        <w:rPr>
          <w:b/>
        </w:rPr>
      </w:pPr>
      <w:r w:rsidRPr="00672731">
        <w:rPr>
          <w:b/>
          <w:highlight w:val="yellow"/>
        </w:rPr>
        <w:t>Téma:</w:t>
      </w:r>
      <w:r>
        <w:rPr>
          <w:b/>
        </w:rPr>
        <w:t xml:space="preserve"> </w:t>
      </w:r>
      <w:r w:rsidR="008B4D84">
        <w:rPr>
          <w:b/>
        </w:rPr>
        <w:t>Konstrukce trojúhelníku (</w:t>
      </w:r>
      <w:proofErr w:type="spellStart"/>
      <w:r w:rsidR="008B4D84">
        <w:rPr>
          <w:b/>
        </w:rPr>
        <w:t>sss</w:t>
      </w:r>
      <w:proofErr w:type="spellEnd"/>
      <w:r w:rsidR="008B4D84">
        <w:rPr>
          <w:b/>
        </w:rPr>
        <w:t xml:space="preserve">, </w:t>
      </w:r>
      <w:proofErr w:type="spellStart"/>
      <w:r w:rsidR="008B4D84">
        <w:rPr>
          <w:b/>
        </w:rPr>
        <w:t>sus</w:t>
      </w:r>
      <w:proofErr w:type="spellEnd"/>
      <w:r w:rsidR="008B4D84">
        <w:rPr>
          <w:b/>
        </w:rPr>
        <w:t>, usu) - procvičování</w:t>
      </w:r>
    </w:p>
    <w:p w:rsidR="00AA67B2" w:rsidRDefault="00AA67B2" w:rsidP="00AA67B2">
      <w:pPr>
        <w:jc w:val="both"/>
        <w:rPr>
          <w:b/>
        </w:rPr>
      </w:pPr>
      <w:r w:rsidRPr="00672731">
        <w:rPr>
          <w:b/>
          <w:highlight w:val="yellow"/>
        </w:rPr>
        <w:t>Číslo hodiny:</w:t>
      </w:r>
      <w:r w:rsidR="00DA5FFC">
        <w:rPr>
          <w:b/>
        </w:rPr>
        <w:t xml:space="preserve"> </w:t>
      </w:r>
      <w:r w:rsidR="003C322A">
        <w:rPr>
          <w:b/>
        </w:rPr>
        <w:t>147</w:t>
      </w:r>
      <w:bookmarkStart w:id="0" w:name="_GoBack"/>
      <w:bookmarkEnd w:id="0"/>
    </w:p>
    <w:p w:rsidR="00AA67B2" w:rsidRDefault="00AA67B2" w:rsidP="008A03B0">
      <w:pPr>
        <w:numPr>
          <w:ilvl w:val="0"/>
          <w:numId w:val="1"/>
        </w:numPr>
        <w:jc w:val="both"/>
      </w:pPr>
      <w:r w:rsidRPr="00D42B57">
        <w:t xml:space="preserve">Nejprve si proveďte kontrolu úkolů </w:t>
      </w:r>
      <w:r w:rsidR="008B4D84">
        <w:t>z čtvrteční</w:t>
      </w:r>
      <w:r w:rsidR="0090252D">
        <w:t xml:space="preserve"> hodiny geometrie</w:t>
      </w:r>
      <w:r>
        <w:t xml:space="preserve">. </w:t>
      </w:r>
      <w:r w:rsidR="008B4D84">
        <w:t>Úlohy byly řešeny</w:t>
      </w:r>
      <w:r w:rsidR="0090252D">
        <w:t xml:space="preserve"> na online hodině</w:t>
      </w:r>
      <w:r w:rsidR="008B4D84">
        <w:t xml:space="preserve"> v pátek 15. 5. 2020</w:t>
      </w:r>
      <w:r w:rsidR="0090252D">
        <w:t>.</w:t>
      </w:r>
      <w:r w:rsidRPr="00D42B57">
        <w:t xml:space="preserve"> </w:t>
      </w:r>
    </w:p>
    <w:p w:rsidR="00735314" w:rsidRPr="00735314" w:rsidRDefault="001C7203" w:rsidP="008A03B0">
      <w:pPr>
        <w:numPr>
          <w:ilvl w:val="0"/>
          <w:numId w:val="1"/>
        </w:numPr>
        <w:jc w:val="both"/>
        <w:rPr>
          <w:b/>
        </w:rPr>
      </w:pPr>
      <w:r>
        <w:t xml:space="preserve">Dnešní hodinu </w:t>
      </w:r>
      <w:r w:rsidR="008B4D84">
        <w:t>si formou opakování vyzkoušíme všechny tři probrané typy konstrukcí trojúhelníku.</w:t>
      </w:r>
    </w:p>
    <w:p w:rsidR="000C446F" w:rsidRDefault="008B4D84" w:rsidP="008904EF">
      <w:pPr>
        <w:numPr>
          <w:ilvl w:val="0"/>
          <w:numId w:val="1"/>
        </w:numPr>
        <w:jc w:val="both"/>
        <w:rPr>
          <w:b/>
          <w:highlight w:val="cyan"/>
        </w:rPr>
      </w:pPr>
      <w:r>
        <w:rPr>
          <w:b/>
          <w:highlight w:val="cyan"/>
        </w:rPr>
        <w:t>Připomínám dnešní</w:t>
      </w:r>
      <w:r w:rsidR="001C7203">
        <w:rPr>
          <w:b/>
          <w:highlight w:val="cyan"/>
        </w:rPr>
        <w:t xml:space="preserve"> konzultaci</w:t>
      </w:r>
      <w:r w:rsidR="003D0C9A" w:rsidRPr="00AB4210">
        <w:rPr>
          <w:b/>
          <w:highlight w:val="cyan"/>
        </w:rPr>
        <w:t xml:space="preserve"> přes Skype od 10 hodin</w:t>
      </w:r>
      <w:r w:rsidR="0065245A">
        <w:rPr>
          <w:b/>
          <w:highlight w:val="cyan"/>
        </w:rPr>
        <w:t xml:space="preserve">. </w:t>
      </w:r>
      <w:r>
        <w:rPr>
          <w:b/>
          <w:highlight w:val="cyan"/>
        </w:rPr>
        <w:t xml:space="preserve">Budeme řešit úlohy k procvičování zadané na včerejší hodině. Dnešní látku budeme procvičovat na zítřejší online hodině. </w:t>
      </w:r>
      <w:r w:rsidR="0065245A">
        <w:rPr>
          <w:b/>
          <w:highlight w:val="cyan"/>
        </w:rPr>
        <w:t>V</w:t>
      </w:r>
      <w:r w:rsidR="00DA5FFC">
        <w:rPr>
          <w:b/>
          <w:highlight w:val="cyan"/>
        </w:rPr>
        <w:t>ěřím, že účast bude opět 100%</w:t>
      </w:r>
      <w:r w:rsidR="003D0C9A" w:rsidRPr="00AB4210">
        <w:rPr>
          <w:b/>
          <w:highlight w:val="cyan"/>
        </w:rPr>
        <w:t>.</w:t>
      </w:r>
    </w:p>
    <w:p w:rsidR="008B4D84" w:rsidRPr="008B4D84" w:rsidRDefault="008B4D84" w:rsidP="008904EF">
      <w:pPr>
        <w:numPr>
          <w:ilvl w:val="0"/>
          <w:numId w:val="1"/>
        </w:numPr>
        <w:jc w:val="both"/>
        <w:rPr>
          <w:b/>
          <w:highlight w:val="green"/>
        </w:rPr>
      </w:pPr>
      <w:r w:rsidRPr="008B4D84">
        <w:rPr>
          <w:b/>
          <w:highlight w:val="green"/>
        </w:rPr>
        <w:t>Připomínám termín odevzdání kontrolního úkolu č. 9 do dnešních 12:00 hodin.</w:t>
      </w:r>
    </w:p>
    <w:p w:rsidR="0090252D" w:rsidRPr="0090252D" w:rsidRDefault="0090252D" w:rsidP="0090252D">
      <w:pPr>
        <w:jc w:val="both"/>
        <w:rPr>
          <w:b/>
          <w:highlight w:val="cyan"/>
        </w:rPr>
      </w:pPr>
    </w:p>
    <w:p w:rsidR="00222228" w:rsidRDefault="008904EF" w:rsidP="002A4D6B">
      <w:pPr>
        <w:jc w:val="both"/>
        <w:rPr>
          <w:b/>
        </w:rPr>
      </w:pPr>
      <w:r w:rsidRPr="008904EF">
        <w:rPr>
          <w:b/>
          <w:highlight w:val="yellow"/>
        </w:rPr>
        <w:t>Zápis</w:t>
      </w:r>
      <w:r w:rsidR="007E3966">
        <w:rPr>
          <w:b/>
          <w:highlight w:val="yellow"/>
        </w:rPr>
        <w:t xml:space="preserve"> dnešní vyučovací hodiny</w:t>
      </w:r>
      <w:r w:rsidR="003667E1">
        <w:rPr>
          <w:b/>
          <w:highlight w:val="yellow"/>
        </w:rPr>
        <w:t xml:space="preserve"> (</w:t>
      </w:r>
      <w:r w:rsidR="002654BE">
        <w:rPr>
          <w:b/>
          <w:highlight w:val="yellow"/>
        </w:rPr>
        <w:t xml:space="preserve">stačí </w:t>
      </w:r>
      <w:r w:rsidR="003667E1">
        <w:rPr>
          <w:b/>
          <w:highlight w:val="yellow"/>
        </w:rPr>
        <w:t xml:space="preserve">si </w:t>
      </w:r>
      <w:r w:rsidR="002654BE">
        <w:rPr>
          <w:b/>
          <w:highlight w:val="yellow"/>
        </w:rPr>
        <w:t>vytisknout a nalepit)</w:t>
      </w:r>
      <w:r w:rsidRPr="008904EF">
        <w:rPr>
          <w:b/>
          <w:highlight w:val="yellow"/>
        </w:rPr>
        <w:t>:</w:t>
      </w:r>
    </w:p>
    <w:p w:rsidR="00140DD4" w:rsidRDefault="008B4D84" w:rsidP="00222228">
      <w:pPr>
        <w:ind w:right="-567"/>
        <w:jc w:val="both"/>
        <w:rPr>
          <w:b/>
        </w:rPr>
      </w:pPr>
      <w:r w:rsidRPr="008B4D84">
        <w:rPr>
          <w:b/>
        </w:rPr>
        <w:t>Na začátku si připomeneme dílčí části při řešení konstrukční úlohy. Žádnou nesmíme opomenout. Na všechny pohlížíme se stejnou důležitostí.</w:t>
      </w:r>
    </w:p>
    <w:p w:rsidR="008B4D84" w:rsidRDefault="008B4D84" w:rsidP="00222228">
      <w:pPr>
        <w:ind w:right="-567"/>
        <w:jc w:val="both"/>
        <w:rPr>
          <w:b/>
        </w:rPr>
      </w:pPr>
      <w:r w:rsidRPr="003667E1">
        <w:rPr>
          <w:b/>
          <w:highlight w:val="cyan"/>
        </w:rPr>
        <w:t>Jednotlivé části konstrukční úlohy jsou následující:</w:t>
      </w:r>
    </w:p>
    <w:p w:rsidR="008B4D84" w:rsidRDefault="008B4D84" w:rsidP="003667E1">
      <w:pPr>
        <w:pStyle w:val="Odstavecseseznamem"/>
        <w:numPr>
          <w:ilvl w:val="0"/>
          <w:numId w:val="2"/>
        </w:numPr>
        <w:ind w:right="-567"/>
        <w:jc w:val="both"/>
        <w:rPr>
          <w:b/>
        </w:rPr>
      </w:pPr>
      <w:r>
        <w:rPr>
          <w:b/>
        </w:rPr>
        <w:t>Náčrt a rozbor</w:t>
      </w:r>
      <w:r w:rsidR="002654BE">
        <w:rPr>
          <w:b/>
        </w:rPr>
        <w:t xml:space="preserve"> (umění navrhnout řešení)</w:t>
      </w:r>
      <w:r>
        <w:rPr>
          <w:b/>
        </w:rPr>
        <w:t>:</w:t>
      </w:r>
    </w:p>
    <w:p w:rsidR="008B4D84" w:rsidRPr="008B4D84" w:rsidRDefault="008B4D84" w:rsidP="003667E1">
      <w:pPr>
        <w:pStyle w:val="Odstavecseseznamem"/>
        <w:numPr>
          <w:ilvl w:val="0"/>
          <w:numId w:val="3"/>
        </w:numPr>
        <w:ind w:right="-567"/>
        <w:jc w:val="both"/>
        <w:rPr>
          <w:b/>
        </w:rPr>
      </w:pPr>
      <w:r>
        <w:t>V rozboru stanovujeme, zda je možné trojúhelník sestrojit (např. součet úhlů musí být menší než 180°; ověření trojúhelníkové nerovnosti)</w:t>
      </w:r>
    </w:p>
    <w:p w:rsidR="008B4D84" w:rsidRPr="008B4D84" w:rsidRDefault="008B4D84" w:rsidP="003667E1">
      <w:pPr>
        <w:pStyle w:val="Odstavecseseznamem"/>
        <w:numPr>
          <w:ilvl w:val="0"/>
          <w:numId w:val="3"/>
        </w:numPr>
        <w:ind w:right="-567"/>
        <w:jc w:val="both"/>
        <w:rPr>
          <w:b/>
        </w:rPr>
      </w:pPr>
      <w:r>
        <w:t>Náčrt nepodceňujeme, črtáme jej od ruky velký a přehledný.</w:t>
      </w:r>
    </w:p>
    <w:p w:rsidR="008B4D84" w:rsidRPr="008B4D84" w:rsidRDefault="008B4D84" w:rsidP="003667E1">
      <w:pPr>
        <w:pStyle w:val="Odstavecseseznamem"/>
        <w:numPr>
          <w:ilvl w:val="0"/>
          <w:numId w:val="3"/>
        </w:numPr>
        <w:ind w:right="-567"/>
        <w:jc w:val="both"/>
        <w:rPr>
          <w:b/>
        </w:rPr>
      </w:pPr>
      <w:r>
        <w:t>Do náčrtu barevně zaznačíme zadané údaje.</w:t>
      </w:r>
    </w:p>
    <w:p w:rsidR="008B4D84" w:rsidRPr="002654BE" w:rsidRDefault="008B4D84" w:rsidP="003667E1">
      <w:pPr>
        <w:pStyle w:val="Odstavecseseznamem"/>
        <w:numPr>
          <w:ilvl w:val="0"/>
          <w:numId w:val="3"/>
        </w:numPr>
        <w:ind w:right="-567"/>
        <w:jc w:val="both"/>
        <w:rPr>
          <w:b/>
        </w:rPr>
      </w:pPr>
      <w:r>
        <w:t xml:space="preserve">Do náčrtu zaznamenáváme od ruky řešení úlohy (je to vlastně </w:t>
      </w:r>
      <w:r w:rsidRPr="002654BE">
        <w:rPr>
          <w:b/>
        </w:rPr>
        <w:t>nejdůležitější část konstrukční</w:t>
      </w:r>
      <w:r>
        <w:t xml:space="preserve"> </w:t>
      </w:r>
      <w:r w:rsidRPr="002654BE">
        <w:rPr>
          <w:b/>
        </w:rPr>
        <w:t>úlohy</w:t>
      </w:r>
      <w:r>
        <w:t>)</w:t>
      </w:r>
    </w:p>
    <w:p w:rsidR="002654BE" w:rsidRPr="002654BE" w:rsidRDefault="002654BE" w:rsidP="002654BE">
      <w:pPr>
        <w:pStyle w:val="Odstavecseseznamem"/>
        <w:ind w:left="1440" w:right="-567"/>
        <w:jc w:val="both"/>
        <w:rPr>
          <w:b/>
        </w:rPr>
      </w:pPr>
    </w:p>
    <w:p w:rsidR="002654BE" w:rsidRDefault="002654BE" w:rsidP="003667E1">
      <w:pPr>
        <w:pStyle w:val="Odstavecseseznamem"/>
        <w:numPr>
          <w:ilvl w:val="0"/>
          <w:numId w:val="2"/>
        </w:numPr>
        <w:ind w:right="-567"/>
        <w:jc w:val="both"/>
        <w:rPr>
          <w:b/>
        </w:rPr>
      </w:pPr>
      <w:r>
        <w:rPr>
          <w:b/>
        </w:rPr>
        <w:t>Postup konstrukce (umění plánovat</w:t>
      </w:r>
      <w:r w:rsidR="003667E1">
        <w:rPr>
          <w:b/>
        </w:rPr>
        <w:t xml:space="preserve"> řešení</w:t>
      </w:r>
      <w:r>
        <w:rPr>
          <w:b/>
        </w:rPr>
        <w:t>):</w:t>
      </w:r>
    </w:p>
    <w:p w:rsidR="002654BE" w:rsidRDefault="002654BE" w:rsidP="003667E1">
      <w:pPr>
        <w:pStyle w:val="Odstavecseseznamem"/>
        <w:numPr>
          <w:ilvl w:val="0"/>
          <w:numId w:val="4"/>
        </w:numPr>
        <w:ind w:right="-567"/>
        <w:jc w:val="both"/>
      </w:pPr>
      <w:r>
        <w:t>Popisujeme postupně kroky z náčrtu pomocí matematické symboliky.</w:t>
      </w:r>
    </w:p>
    <w:p w:rsidR="002654BE" w:rsidRDefault="002654BE" w:rsidP="003667E1">
      <w:pPr>
        <w:pStyle w:val="Odstavecseseznamem"/>
        <w:numPr>
          <w:ilvl w:val="0"/>
          <w:numId w:val="4"/>
        </w:numPr>
        <w:ind w:right="-567"/>
        <w:jc w:val="both"/>
      </w:pPr>
      <w:r>
        <w:t xml:space="preserve">Vždy nejprve popíšeme, co budeme rýsovat (například úsečku AB), a poté popíšeme vlastnosti úsečky (její délku). Obě části oddělujeme středníkem, který značí výraz „pro který platí“ - například  </w:t>
      </w:r>
      <m:oMath>
        <m:r>
          <w:rPr>
            <w:rFonts w:ascii="Cambria Math" w:hAnsi="Cambria Math"/>
          </w:rPr>
          <m:t>AB;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  <m:r>
          <w:rPr>
            <w:rFonts w:ascii="Cambria Math" w:hAnsi="Cambria Math"/>
          </w:rPr>
          <m:t>=6cm</m:t>
        </m:r>
      </m:oMath>
    </w:p>
    <w:p w:rsidR="002654BE" w:rsidRDefault="002654BE" w:rsidP="002654BE">
      <w:pPr>
        <w:pStyle w:val="Odstavecseseznamem"/>
        <w:ind w:left="1440" w:right="-567"/>
        <w:jc w:val="both"/>
      </w:pPr>
    </w:p>
    <w:p w:rsidR="002654BE" w:rsidRDefault="002654BE" w:rsidP="003667E1">
      <w:pPr>
        <w:pStyle w:val="Odstavecseseznamem"/>
        <w:numPr>
          <w:ilvl w:val="0"/>
          <w:numId w:val="2"/>
        </w:numPr>
        <w:ind w:right="-567"/>
        <w:jc w:val="both"/>
        <w:rPr>
          <w:b/>
        </w:rPr>
      </w:pPr>
      <w:r w:rsidRPr="002654BE">
        <w:rPr>
          <w:b/>
        </w:rPr>
        <w:t>Konstrukce (umění realizovat plán</w:t>
      </w:r>
      <w:r w:rsidR="003667E1">
        <w:rPr>
          <w:b/>
        </w:rPr>
        <w:t>ované řešení</w:t>
      </w:r>
      <w:r w:rsidRPr="002654BE">
        <w:rPr>
          <w:b/>
        </w:rPr>
        <w:t>):</w:t>
      </w:r>
    </w:p>
    <w:p w:rsidR="002654BE" w:rsidRDefault="002654BE" w:rsidP="003667E1">
      <w:pPr>
        <w:pStyle w:val="Odstavecseseznamem"/>
        <w:numPr>
          <w:ilvl w:val="0"/>
          <w:numId w:val="5"/>
        </w:numPr>
        <w:ind w:right="-567"/>
        <w:jc w:val="both"/>
      </w:pPr>
      <w:r>
        <w:t>Rýsuji postupně podle bodů zaznamenaných v postupu konstrukce.</w:t>
      </w:r>
    </w:p>
    <w:p w:rsidR="002654BE" w:rsidRDefault="002654BE" w:rsidP="003667E1">
      <w:pPr>
        <w:pStyle w:val="Odstavecseseznamem"/>
        <w:numPr>
          <w:ilvl w:val="0"/>
          <w:numId w:val="5"/>
        </w:numPr>
        <w:ind w:right="-567"/>
        <w:jc w:val="both"/>
      </w:pPr>
      <w:r>
        <w:t>Používám pouze rýsovací potřeby (nic nedělám od ruky).</w:t>
      </w:r>
    </w:p>
    <w:p w:rsidR="002654BE" w:rsidRDefault="002654BE" w:rsidP="003667E1">
      <w:pPr>
        <w:pStyle w:val="Odstavecseseznamem"/>
        <w:numPr>
          <w:ilvl w:val="0"/>
          <w:numId w:val="5"/>
        </w:numPr>
        <w:ind w:right="-567"/>
        <w:jc w:val="both"/>
      </w:pPr>
      <w:r>
        <w:t>Nepoužívám žádné barevné tužky.</w:t>
      </w:r>
    </w:p>
    <w:p w:rsidR="002654BE" w:rsidRDefault="002654BE" w:rsidP="003667E1">
      <w:pPr>
        <w:pStyle w:val="Odstavecseseznamem"/>
        <w:numPr>
          <w:ilvl w:val="0"/>
          <w:numId w:val="5"/>
        </w:numPr>
        <w:ind w:right="-567"/>
        <w:jc w:val="both"/>
      </w:pPr>
      <w:r>
        <w:t>Výsledek mohu zvýraznit opět pouze tužkou.</w:t>
      </w:r>
    </w:p>
    <w:p w:rsidR="002654BE" w:rsidRDefault="002654BE" w:rsidP="002654BE">
      <w:pPr>
        <w:pStyle w:val="Odstavecseseznamem"/>
        <w:ind w:left="1440" w:right="-567"/>
        <w:jc w:val="both"/>
      </w:pPr>
    </w:p>
    <w:p w:rsidR="002654BE" w:rsidRDefault="002654BE" w:rsidP="003667E1">
      <w:pPr>
        <w:pStyle w:val="Odstavecseseznamem"/>
        <w:numPr>
          <w:ilvl w:val="0"/>
          <w:numId w:val="2"/>
        </w:numPr>
        <w:ind w:right="-567"/>
        <w:jc w:val="both"/>
        <w:rPr>
          <w:b/>
        </w:rPr>
      </w:pPr>
      <w:r w:rsidRPr="002654BE">
        <w:rPr>
          <w:b/>
        </w:rPr>
        <w:t>Diskuse a závěr (umění ověření správnosti</w:t>
      </w:r>
      <w:r w:rsidR="003667E1">
        <w:rPr>
          <w:b/>
        </w:rPr>
        <w:t xml:space="preserve"> řešení</w:t>
      </w:r>
      <w:r w:rsidRPr="002654BE">
        <w:rPr>
          <w:b/>
        </w:rPr>
        <w:t>):</w:t>
      </w:r>
    </w:p>
    <w:p w:rsidR="002654BE" w:rsidRDefault="002654BE" w:rsidP="003667E1">
      <w:pPr>
        <w:pStyle w:val="Odstavecseseznamem"/>
        <w:numPr>
          <w:ilvl w:val="0"/>
          <w:numId w:val="6"/>
        </w:numPr>
        <w:ind w:right="-567"/>
        <w:jc w:val="both"/>
      </w:pPr>
      <w:r>
        <w:t>V diskusi se zatím zaměříme pouze na stanovení počtu řešení (po dohodě stanovujeme počet řešení v polorovině).</w:t>
      </w:r>
    </w:p>
    <w:p w:rsidR="002654BE" w:rsidRDefault="002654BE" w:rsidP="003667E1">
      <w:pPr>
        <w:pStyle w:val="Odstavecseseznamem"/>
        <w:numPr>
          <w:ilvl w:val="0"/>
          <w:numId w:val="6"/>
        </w:numPr>
        <w:ind w:right="-567"/>
        <w:jc w:val="both"/>
      </w:pPr>
      <w:r>
        <w:t>Dále si změříme všechny zadané údaje, zda jsme je opravdu narýsovali správně (například jsme si nespletli stranu, nenaměřili špatně některý zadaný údaj).</w:t>
      </w:r>
    </w:p>
    <w:p w:rsidR="002654BE" w:rsidRPr="002654BE" w:rsidRDefault="002654BE" w:rsidP="003667E1">
      <w:pPr>
        <w:pStyle w:val="Odstavecseseznamem"/>
        <w:numPr>
          <w:ilvl w:val="0"/>
          <w:numId w:val="6"/>
        </w:numPr>
        <w:ind w:right="-567"/>
        <w:jc w:val="both"/>
        <w:rPr>
          <w:b/>
        </w:rPr>
      </w:pPr>
      <w:r>
        <w:t xml:space="preserve">Je-li vše v pořádku, napíšeme například.: </w:t>
      </w:r>
      <w:r w:rsidRPr="002654BE">
        <w:rPr>
          <w:b/>
        </w:rPr>
        <w:t>Trojúhelník odpovídá zadání, jedno řešení v polorovině.</w:t>
      </w:r>
    </w:p>
    <w:p w:rsidR="008B4D84" w:rsidRDefault="008B4D84" w:rsidP="00222228">
      <w:pPr>
        <w:ind w:right="-567"/>
        <w:jc w:val="both"/>
        <w:rPr>
          <w:b/>
          <w:highlight w:val="cyan"/>
        </w:rPr>
      </w:pPr>
    </w:p>
    <w:p w:rsidR="007B1C0F" w:rsidRDefault="007B1C0F" w:rsidP="00222228">
      <w:pPr>
        <w:ind w:right="-567"/>
        <w:jc w:val="both"/>
        <w:rPr>
          <w:b/>
          <w:highlight w:val="cyan"/>
        </w:rPr>
      </w:pPr>
      <w:r>
        <w:rPr>
          <w:b/>
          <w:highlight w:val="cyan"/>
        </w:rPr>
        <w:t>Příklady k procvičování:</w:t>
      </w:r>
    </w:p>
    <w:p w:rsidR="007B1C0F" w:rsidRPr="007B1C0F" w:rsidRDefault="007B1C0F" w:rsidP="00222228">
      <w:pPr>
        <w:ind w:right="-567"/>
        <w:jc w:val="both"/>
        <w:rPr>
          <w:b/>
          <w:highlight w:val="magenta"/>
        </w:rPr>
      </w:pPr>
    </w:p>
    <w:p w:rsidR="00677758" w:rsidRDefault="00222228" w:rsidP="00222228">
      <w:pPr>
        <w:ind w:right="-567"/>
        <w:jc w:val="both"/>
        <w:rPr>
          <w:b/>
        </w:rPr>
      </w:pPr>
      <w:r w:rsidRPr="007B1C0F">
        <w:rPr>
          <w:b/>
          <w:highlight w:val="cyan"/>
        </w:rPr>
        <w:t>Příklad č. 1</w:t>
      </w:r>
      <w:r w:rsidR="00677758" w:rsidRPr="007B1C0F">
        <w:rPr>
          <w:b/>
          <w:highlight w:val="cyan"/>
        </w:rPr>
        <w:t>:</w:t>
      </w:r>
    </w:p>
    <w:p w:rsidR="002137B2" w:rsidRDefault="00F91DB2" w:rsidP="00222228">
      <w:pPr>
        <w:ind w:right="-567"/>
        <w:jc w:val="both"/>
        <w:rPr>
          <w:b/>
        </w:rPr>
      </w:pPr>
      <w:r>
        <w:rPr>
          <w:b/>
        </w:rPr>
        <w:t>Sestrojte trojúhelník XYZ</w:t>
      </w:r>
      <w:r w:rsidR="002137B2">
        <w:rPr>
          <w:b/>
        </w:rPr>
        <w:t xml:space="preserve">, je-li dáno: </w:t>
      </w:r>
      <m:oMath>
        <m:r>
          <m:rPr>
            <m:sty m:val="bi"/>
          </m:rPr>
          <w:rPr>
            <w:rFonts w:ascii="Cambria Math" w:hAnsi="Cambria Math"/>
          </w:rPr>
          <m:t>x=5,5 cm;y=45 mm;z=0,7 dm</m:t>
        </m:r>
      </m:oMath>
      <w:r w:rsidR="002137B2">
        <w:rPr>
          <w:b/>
        </w:rPr>
        <w:t>.</w:t>
      </w:r>
    </w:p>
    <w:p w:rsidR="007B1C0F" w:rsidRDefault="007B1C0F" w:rsidP="007B1C0F">
      <w:pPr>
        <w:ind w:right="-567"/>
        <w:jc w:val="both"/>
        <w:rPr>
          <w:b/>
          <w:highlight w:val="cyan"/>
        </w:rPr>
      </w:pPr>
    </w:p>
    <w:p w:rsidR="007B1C0F" w:rsidRDefault="007B1C0F" w:rsidP="007B1C0F">
      <w:pPr>
        <w:ind w:right="-567"/>
        <w:jc w:val="both"/>
        <w:rPr>
          <w:b/>
        </w:rPr>
      </w:pPr>
      <w:r w:rsidRPr="007B1C0F">
        <w:rPr>
          <w:b/>
          <w:highlight w:val="cyan"/>
        </w:rPr>
        <w:t>Příklad č.</w:t>
      </w:r>
      <w:r>
        <w:rPr>
          <w:b/>
          <w:highlight w:val="cyan"/>
        </w:rPr>
        <w:t xml:space="preserve"> 2</w:t>
      </w:r>
      <w:r w:rsidRPr="007B1C0F">
        <w:rPr>
          <w:b/>
          <w:highlight w:val="cyan"/>
        </w:rPr>
        <w:t>:</w:t>
      </w:r>
    </w:p>
    <w:p w:rsidR="008A03B0" w:rsidRDefault="00F91DB2" w:rsidP="008A03B0">
      <w:pPr>
        <w:ind w:right="-567"/>
        <w:jc w:val="both"/>
        <w:rPr>
          <w:b/>
        </w:rPr>
      </w:pPr>
      <w:r>
        <w:rPr>
          <w:b/>
        </w:rPr>
        <w:t>Sestrojte trojúhelník KLM</w:t>
      </w:r>
      <w:r w:rsidR="008A03B0">
        <w:rPr>
          <w:b/>
        </w:rPr>
        <w:t xml:space="preserve">, je-li dáno: </w:t>
      </w:r>
      <m:oMath>
        <m:r>
          <m:rPr>
            <m:sty m:val="bi"/>
          </m:rPr>
          <w:rPr>
            <w:rFonts w:ascii="Cambria Math" w:hAnsi="Cambria Math"/>
          </w:rPr>
          <m:t xml:space="preserve">k=50 mm;l=7 cm; </m:t>
        </m:r>
        <m:d>
          <m:dPr>
            <m:begChr m:val="|"/>
            <m:endChr m:val="|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∢LMK</m:t>
            </m:r>
          </m:e>
        </m:d>
        <m:r>
          <m:rPr>
            <m:sty m:val="bi"/>
          </m:rPr>
          <w:rPr>
            <w:rFonts w:ascii="Cambria Math" w:hAnsi="Cambria Math"/>
          </w:rPr>
          <m:t>=75°</m:t>
        </m:r>
      </m:oMath>
      <w:r w:rsidR="008A03B0">
        <w:rPr>
          <w:b/>
        </w:rPr>
        <w:t>.</w:t>
      </w:r>
    </w:p>
    <w:p w:rsidR="00281E03" w:rsidRDefault="00281E03" w:rsidP="00830974">
      <w:pPr>
        <w:rPr>
          <w:b/>
        </w:rPr>
      </w:pPr>
    </w:p>
    <w:p w:rsidR="007B1C0F" w:rsidRDefault="007B1C0F" w:rsidP="007B1C0F">
      <w:pPr>
        <w:ind w:right="-567"/>
        <w:jc w:val="both"/>
        <w:rPr>
          <w:b/>
        </w:rPr>
      </w:pPr>
      <w:r w:rsidRPr="007B1C0F">
        <w:rPr>
          <w:b/>
          <w:highlight w:val="cyan"/>
        </w:rPr>
        <w:t>Příklad č.</w:t>
      </w:r>
      <w:r>
        <w:rPr>
          <w:b/>
          <w:highlight w:val="cyan"/>
        </w:rPr>
        <w:t xml:space="preserve"> 3</w:t>
      </w:r>
      <w:r w:rsidRPr="007B1C0F">
        <w:rPr>
          <w:b/>
          <w:highlight w:val="cyan"/>
        </w:rPr>
        <w:t>:</w:t>
      </w:r>
    </w:p>
    <w:p w:rsidR="007B1C0F" w:rsidRDefault="007B1C0F" w:rsidP="007B1C0F">
      <w:pPr>
        <w:ind w:right="-567"/>
        <w:jc w:val="both"/>
        <w:rPr>
          <w:b/>
        </w:rPr>
      </w:pPr>
      <w:r>
        <w:rPr>
          <w:b/>
        </w:rPr>
        <w:t xml:space="preserve">Sestrojte trojúhelník ABC, je-li dáno: </w:t>
      </w:r>
      <m:oMath>
        <m:r>
          <m:rPr>
            <m:sty m:val="bi"/>
          </m:rPr>
          <w:rPr>
            <w:rFonts w:ascii="Cambria Math" w:hAnsi="Cambria Math"/>
          </w:rPr>
          <m:t>b=6,5 cm;α=35°; γ=75°</m:t>
        </m:r>
      </m:oMath>
      <w:r>
        <w:rPr>
          <w:b/>
        </w:rPr>
        <w:t>.</w:t>
      </w:r>
    </w:p>
    <w:p w:rsidR="00F01730" w:rsidRPr="00ED4003" w:rsidRDefault="00F01730" w:rsidP="00ED4003">
      <w:pPr>
        <w:jc w:val="both"/>
        <w:rPr>
          <w:rFonts w:asciiTheme="minorHAnsi" w:hAnsiTheme="minorHAnsi" w:cstheme="minorHAnsi"/>
          <w:b/>
        </w:rPr>
      </w:pPr>
    </w:p>
    <w:sectPr w:rsidR="00F01730" w:rsidRPr="00ED4003" w:rsidSect="00E9031D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5868"/>
    <w:multiLevelType w:val="hybridMultilevel"/>
    <w:tmpl w:val="C0588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36F5F"/>
    <w:multiLevelType w:val="hybridMultilevel"/>
    <w:tmpl w:val="902C5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55AB3"/>
    <w:multiLevelType w:val="hybridMultilevel"/>
    <w:tmpl w:val="BF00DE2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0F4315"/>
    <w:multiLevelType w:val="hybridMultilevel"/>
    <w:tmpl w:val="598CBED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005ACA"/>
    <w:multiLevelType w:val="hybridMultilevel"/>
    <w:tmpl w:val="68C4977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BF6BF5"/>
    <w:multiLevelType w:val="hybridMultilevel"/>
    <w:tmpl w:val="E55A661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B2"/>
    <w:rsid w:val="000229A6"/>
    <w:rsid w:val="0003309C"/>
    <w:rsid w:val="00071F22"/>
    <w:rsid w:val="00093602"/>
    <w:rsid w:val="000C446F"/>
    <w:rsid w:val="001105F0"/>
    <w:rsid w:val="0012288E"/>
    <w:rsid w:val="00140DD4"/>
    <w:rsid w:val="001B532F"/>
    <w:rsid w:val="001C7203"/>
    <w:rsid w:val="001D17B6"/>
    <w:rsid w:val="001E7CC3"/>
    <w:rsid w:val="001F11EC"/>
    <w:rsid w:val="002055AD"/>
    <w:rsid w:val="002137B2"/>
    <w:rsid w:val="00222228"/>
    <w:rsid w:val="00232433"/>
    <w:rsid w:val="00256F35"/>
    <w:rsid w:val="002654BE"/>
    <w:rsid w:val="00281E03"/>
    <w:rsid w:val="002A4D6B"/>
    <w:rsid w:val="002B4685"/>
    <w:rsid w:val="002C44F2"/>
    <w:rsid w:val="003667E1"/>
    <w:rsid w:val="00367D8E"/>
    <w:rsid w:val="003C1F8E"/>
    <w:rsid w:val="003C322A"/>
    <w:rsid w:val="003D0C9A"/>
    <w:rsid w:val="00405337"/>
    <w:rsid w:val="0044402C"/>
    <w:rsid w:val="00486B85"/>
    <w:rsid w:val="004B1D2B"/>
    <w:rsid w:val="004C03C0"/>
    <w:rsid w:val="004C4672"/>
    <w:rsid w:val="004E2881"/>
    <w:rsid w:val="005066B8"/>
    <w:rsid w:val="00571D92"/>
    <w:rsid w:val="005C0D96"/>
    <w:rsid w:val="005D1163"/>
    <w:rsid w:val="00610E82"/>
    <w:rsid w:val="0065245A"/>
    <w:rsid w:val="00677758"/>
    <w:rsid w:val="006805FF"/>
    <w:rsid w:val="006D0DE2"/>
    <w:rsid w:val="006E13E6"/>
    <w:rsid w:val="006F3468"/>
    <w:rsid w:val="00735314"/>
    <w:rsid w:val="00736B9B"/>
    <w:rsid w:val="00767264"/>
    <w:rsid w:val="007B1C0F"/>
    <w:rsid w:val="007E157E"/>
    <w:rsid w:val="007E3966"/>
    <w:rsid w:val="0082313F"/>
    <w:rsid w:val="00830974"/>
    <w:rsid w:val="00881A38"/>
    <w:rsid w:val="008904EF"/>
    <w:rsid w:val="008A03B0"/>
    <w:rsid w:val="008B4D84"/>
    <w:rsid w:val="008D31B4"/>
    <w:rsid w:val="008D6C67"/>
    <w:rsid w:val="0090252D"/>
    <w:rsid w:val="0091415C"/>
    <w:rsid w:val="00920077"/>
    <w:rsid w:val="009615EB"/>
    <w:rsid w:val="009E51EA"/>
    <w:rsid w:val="00AA5DC8"/>
    <w:rsid w:val="00AA67B2"/>
    <w:rsid w:val="00AB4210"/>
    <w:rsid w:val="00B15ADE"/>
    <w:rsid w:val="00B17EBD"/>
    <w:rsid w:val="00B22319"/>
    <w:rsid w:val="00B32F2F"/>
    <w:rsid w:val="00B40B7C"/>
    <w:rsid w:val="00B92711"/>
    <w:rsid w:val="00BB5A73"/>
    <w:rsid w:val="00C135B4"/>
    <w:rsid w:val="00CA0F74"/>
    <w:rsid w:val="00CB3309"/>
    <w:rsid w:val="00CD7AF4"/>
    <w:rsid w:val="00CE1CC9"/>
    <w:rsid w:val="00CE1E1E"/>
    <w:rsid w:val="00D07C3F"/>
    <w:rsid w:val="00D221F7"/>
    <w:rsid w:val="00D223AC"/>
    <w:rsid w:val="00D37FB1"/>
    <w:rsid w:val="00D85344"/>
    <w:rsid w:val="00DA5FFC"/>
    <w:rsid w:val="00DC521D"/>
    <w:rsid w:val="00E35E66"/>
    <w:rsid w:val="00E5793F"/>
    <w:rsid w:val="00E9031D"/>
    <w:rsid w:val="00EC5633"/>
    <w:rsid w:val="00ED4003"/>
    <w:rsid w:val="00F01730"/>
    <w:rsid w:val="00F125D2"/>
    <w:rsid w:val="00F91DB2"/>
    <w:rsid w:val="00FA20D4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B4A6"/>
  <w15:chartTrackingRefBased/>
  <w15:docId w15:val="{35C96597-8855-47CE-A98C-6EBC4D71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71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1415C"/>
    <w:rPr>
      <w:color w:val="808080"/>
    </w:rPr>
  </w:style>
  <w:style w:type="paragraph" w:styleId="Odstavecseseznamem">
    <w:name w:val="List Paragraph"/>
    <w:basedOn w:val="Normln"/>
    <w:uiPriority w:val="34"/>
    <w:qFormat/>
    <w:rsid w:val="0091415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A03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1B5B4-E0BA-4C37-8AB1-39042AA13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dcterms:created xsi:type="dcterms:W3CDTF">2020-05-17T05:56:00Z</dcterms:created>
  <dcterms:modified xsi:type="dcterms:W3CDTF">2020-05-17T05:56:00Z</dcterms:modified>
</cp:coreProperties>
</file>